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456DF" w14:textId="2B742CD0" w:rsidR="009A688E" w:rsidRDefault="009646FE">
      <w:pPr>
        <w:pStyle w:val="Standard"/>
        <w:jc w:val="center"/>
      </w:pPr>
      <w:bookmarkStart w:id="0" w:name="_GoBack"/>
      <w:bookmarkEnd w:id="0"/>
      <w:r>
        <w:t xml:space="preserve">   </w:t>
      </w:r>
      <w:r>
        <w:rPr>
          <w:b/>
          <w:bCs/>
          <w:sz w:val="28"/>
          <w:szCs w:val="28"/>
        </w:rPr>
        <w:t xml:space="preserve"> </w:t>
      </w:r>
      <w:r w:rsidR="00312FB6">
        <w:rPr>
          <w:b/>
          <w:bCs/>
          <w:sz w:val="28"/>
          <w:szCs w:val="28"/>
        </w:rPr>
        <w:t xml:space="preserve">NEGATIVA PARENTAL A </w:t>
      </w:r>
      <w:r>
        <w:rPr>
          <w:b/>
          <w:bCs/>
          <w:sz w:val="28"/>
          <w:szCs w:val="28"/>
        </w:rPr>
        <w:t>LA PRUEBA PCR</w:t>
      </w:r>
    </w:p>
    <w:p w14:paraId="6BE58878" w14:textId="77777777" w:rsidR="009A688E" w:rsidRDefault="009A688E">
      <w:pPr>
        <w:pStyle w:val="Standard"/>
      </w:pPr>
    </w:p>
    <w:p w14:paraId="5FB14D51" w14:textId="77777777" w:rsidR="009A688E" w:rsidRDefault="009A688E">
      <w:pPr>
        <w:pStyle w:val="Standard"/>
      </w:pPr>
    </w:p>
    <w:p w14:paraId="2FF001A8" w14:textId="77777777" w:rsidR="009A688E" w:rsidRDefault="009A688E">
      <w:pPr>
        <w:pStyle w:val="Standard"/>
      </w:pPr>
    </w:p>
    <w:p w14:paraId="257C4CB8" w14:textId="77777777" w:rsidR="009A688E" w:rsidRDefault="009646FE" w:rsidP="00312FB6">
      <w:pPr>
        <w:pStyle w:val="Standard"/>
        <w:jc w:val="both"/>
      </w:pPr>
      <w:r>
        <w:t>D/Dª……………………………………………...con DNI………………………. y domicilio en……………………………………………………………………………………………….,</w:t>
      </w:r>
    </w:p>
    <w:p w14:paraId="2C97FBA6" w14:textId="77777777" w:rsidR="009A688E" w:rsidRDefault="009646FE" w:rsidP="00312FB6">
      <w:pPr>
        <w:pStyle w:val="Standard"/>
        <w:jc w:val="both"/>
      </w:pPr>
      <w:r>
        <w:t>padre/madre/tutor legal del alumno o la alumna ……………………………………………….</w:t>
      </w:r>
    </w:p>
    <w:p w14:paraId="5D9DC9BF" w14:textId="77777777" w:rsidR="009A688E" w:rsidRDefault="009646FE" w:rsidP="00312FB6">
      <w:pPr>
        <w:pStyle w:val="Standard"/>
        <w:jc w:val="both"/>
      </w:pPr>
      <w:r>
        <w:t>matriculado o matriculada en ……………………………………….el IES/CFIP………………</w:t>
      </w:r>
    </w:p>
    <w:p w14:paraId="0951984E" w14:textId="77777777" w:rsidR="009A688E" w:rsidRDefault="009646FE" w:rsidP="00312FB6">
      <w:pPr>
        <w:pStyle w:val="Standard"/>
        <w:jc w:val="both"/>
      </w:pPr>
      <w:r>
        <w:t>………………………….</w:t>
      </w:r>
    </w:p>
    <w:p w14:paraId="1A4C9BBD" w14:textId="77777777" w:rsidR="009A688E" w:rsidRDefault="009A688E" w:rsidP="00312FB6">
      <w:pPr>
        <w:pStyle w:val="Standard"/>
        <w:jc w:val="both"/>
      </w:pPr>
    </w:p>
    <w:p w14:paraId="07FF6C5E" w14:textId="3A1EF0CB" w:rsidR="009A688E" w:rsidRDefault="009646FE" w:rsidP="00312FB6">
      <w:pPr>
        <w:pStyle w:val="Standard"/>
        <w:jc w:val="both"/>
      </w:pPr>
      <w:r>
        <w:t>Que al amparo de lo dispuesto en el articulo 1 de la Convención sobre los Derechos del Niño de 1989; artículos 1, 10 y 12 de la Constitución Española; artículos 154 y 315 del Código Civil; artículos 2.2 y 3 de la Ley 4/2002, de 14 de noviembre de Autonomía del Paciente; articulo 43.3, articulo 45.5, articulo 1 apartado 1 y 2  del Titulo Preliminar, articulo 52.2 b),</w:t>
      </w:r>
    </w:p>
    <w:p w14:paraId="6CED094B" w14:textId="77777777" w:rsidR="009A688E" w:rsidRDefault="009A688E" w:rsidP="00312FB6">
      <w:pPr>
        <w:pStyle w:val="Standard"/>
        <w:jc w:val="both"/>
      </w:pPr>
    </w:p>
    <w:p w14:paraId="5C8A7675" w14:textId="77777777" w:rsidR="009A688E" w:rsidRDefault="009A688E" w:rsidP="00312FB6">
      <w:pPr>
        <w:pStyle w:val="Standard"/>
        <w:jc w:val="both"/>
      </w:pPr>
    </w:p>
    <w:p w14:paraId="46EF5C37" w14:textId="77777777" w:rsidR="009A688E" w:rsidRDefault="009646FE" w:rsidP="00312FB6">
      <w:pPr>
        <w:pStyle w:val="Standard"/>
        <w:jc w:val="both"/>
        <w:rPr>
          <w:b/>
          <w:bCs/>
        </w:rPr>
      </w:pPr>
      <w:r>
        <w:rPr>
          <w:b/>
          <w:bCs/>
        </w:rPr>
        <w:t>Expongo:</w:t>
      </w:r>
    </w:p>
    <w:p w14:paraId="67B19187" w14:textId="77777777" w:rsidR="009A688E" w:rsidRDefault="009A688E" w:rsidP="00312FB6">
      <w:pPr>
        <w:pStyle w:val="Standard"/>
        <w:jc w:val="both"/>
      </w:pPr>
    </w:p>
    <w:p w14:paraId="2228E94C" w14:textId="77777777" w:rsidR="009A688E" w:rsidRDefault="009646FE" w:rsidP="00312FB6">
      <w:pPr>
        <w:pStyle w:val="Standard"/>
        <w:jc w:val="both"/>
        <w:rPr>
          <w:b/>
          <w:bCs/>
        </w:rPr>
      </w:pPr>
      <w:r>
        <w:rPr>
          <w:b/>
          <w:bCs/>
        </w:rPr>
        <w:t>Primero</w:t>
      </w:r>
    </w:p>
    <w:p w14:paraId="168AC8C0" w14:textId="77777777" w:rsidR="009A688E" w:rsidRDefault="009A688E" w:rsidP="00312FB6">
      <w:pPr>
        <w:pStyle w:val="Standard"/>
        <w:jc w:val="both"/>
      </w:pPr>
    </w:p>
    <w:p w14:paraId="654433CE" w14:textId="163CAE80" w:rsidR="009A688E" w:rsidRDefault="009646FE" w:rsidP="00312FB6">
      <w:pPr>
        <w:pStyle w:val="Standard"/>
        <w:jc w:val="both"/>
      </w:pPr>
      <w:r>
        <w:t xml:space="preserve">Que </w:t>
      </w:r>
      <w:r w:rsidR="00312FB6">
        <w:t xml:space="preserve">NO PRESTO MI CONSENTIMIENTO a que </w:t>
      </w:r>
      <w:r>
        <w:t>durante el curso escolar 2020/2021</w:t>
      </w:r>
      <w:r w:rsidR="00312FB6">
        <w:t xml:space="preserve"> en este Centro Educativo</w:t>
      </w:r>
      <w:r>
        <w:t xml:space="preserve"> </w:t>
      </w:r>
      <w:r w:rsidR="00312FB6">
        <w:t xml:space="preserve">se someta a mi hijo a la práctica de la </w:t>
      </w:r>
      <w:r>
        <w:t>prueba PCR</w:t>
      </w:r>
      <w:r w:rsidR="00312FB6">
        <w:t xml:space="preserve"> o a cualquier otra prueba diagnóstica. El c</w:t>
      </w:r>
      <w:r>
        <w:t xml:space="preserve"> consentimiento informado </w:t>
      </w:r>
      <w:r w:rsidR="00312FB6">
        <w:t xml:space="preserve">es el </w:t>
      </w:r>
      <w:r>
        <w:t xml:space="preserve">mecanismo de protección y garantía de la </w:t>
      </w:r>
      <w:r w:rsidR="00312FB6">
        <w:t>autodeterminación del individuo ya que se reconoce e</w:t>
      </w:r>
      <w:r>
        <w:t>l</w:t>
      </w:r>
      <w:r w:rsidR="00312FB6">
        <w:t xml:space="preserve"> derecho de la persona a</w:t>
      </w:r>
      <w:r>
        <w:t xml:space="preserve"> y elegir sobre los as</w:t>
      </w:r>
      <w:r w:rsidR="00312FB6">
        <w:t>pectos</w:t>
      </w:r>
      <w:r>
        <w:t xml:space="preserve"> relacionados con su salud, </w:t>
      </w:r>
      <w:r w:rsidR="00312FB6">
        <w:t xml:space="preserve">con </w:t>
      </w:r>
      <w:r>
        <w:t xml:space="preserve">su vida </w:t>
      </w:r>
      <w:r w:rsidR="00312FB6">
        <w:t>o</w:t>
      </w:r>
      <w:r>
        <w:t xml:space="preserve"> su integridad física.</w:t>
      </w:r>
    </w:p>
    <w:p w14:paraId="04845FAC" w14:textId="77777777" w:rsidR="009A688E" w:rsidRDefault="009A688E" w:rsidP="00312FB6">
      <w:pPr>
        <w:pStyle w:val="Standard"/>
        <w:jc w:val="both"/>
      </w:pPr>
    </w:p>
    <w:p w14:paraId="65570A4C" w14:textId="77777777" w:rsidR="009A688E" w:rsidRDefault="009646FE" w:rsidP="00312FB6">
      <w:pPr>
        <w:pStyle w:val="Standard"/>
        <w:jc w:val="both"/>
        <w:rPr>
          <w:b/>
          <w:bCs/>
        </w:rPr>
      </w:pPr>
      <w:r>
        <w:rPr>
          <w:b/>
          <w:bCs/>
        </w:rPr>
        <w:t>Segundo</w:t>
      </w:r>
    </w:p>
    <w:p w14:paraId="5732E405" w14:textId="77777777" w:rsidR="009A688E" w:rsidRDefault="009A688E" w:rsidP="00312FB6">
      <w:pPr>
        <w:pStyle w:val="Standard"/>
        <w:jc w:val="both"/>
      </w:pPr>
    </w:p>
    <w:p w14:paraId="5662688F" w14:textId="72DA41E5" w:rsidR="009A688E" w:rsidRDefault="009646FE" w:rsidP="00312FB6">
      <w:pPr>
        <w:pStyle w:val="Standard"/>
        <w:jc w:val="both"/>
      </w:pPr>
      <w:r>
        <w:t xml:space="preserve">Que esta medida sanitaria, tal como viene reflejada en la </w:t>
      </w:r>
      <w:r w:rsidR="00312FB6">
        <w:t>página</w:t>
      </w:r>
      <w:r>
        <w:t xml:space="preserve"> del Ministerio de Salud,</w:t>
      </w:r>
      <w:r w:rsidR="00F76EE0">
        <w:t xml:space="preserve"> </w:t>
      </w:r>
      <w:r w:rsidR="0098672E">
        <w:t xml:space="preserve">en el apartado </w:t>
      </w:r>
      <w:r w:rsidR="0093248D">
        <w:t>“</w:t>
      </w:r>
      <w:r w:rsidR="00B67610" w:rsidRPr="00B67610">
        <w:t>Estudio Nacional de sero-Epidemiología de la Infección por SARS-CoV-2 en España (ENE-Covid)</w:t>
      </w:r>
      <w:r w:rsidR="00341309">
        <w:t>” no</w:t>
      </w:r>
      <w:r>
        <w:t xml:space="preserve"> tiene ninguna relación directa con la identificación de la enfermedad Covid 19 y, como consecuencia, no es necesaria ni obligatoria en estos momentos, debiéndose </w:t>
      </w:r>
      <w:r w:rsidR="00312FB6">
        <w:t>e</w:t>
      </w:r>
      <w:r>
        <w:t>justificar en un futuro su eficacia directa e inequívoca en base a estudios científicos corroborados por toda la comunidad científica mundial.</w:t>
      </w:r>
    </w:p>
    <w:p w14:paraId="18522080" w14:textId="77777777" w:rsidR="009A688E" w:rsidRDefault="009A688E" w:rsidP="00312FB6">
      <w:pPr>
        <w:pStyle w:val="Standard"/>
        <w:jc w:val="both"/>
      </w:pPr>
    </w:p>
    <w:p w14:paraId="21B58D38" w14:textId="77777777" w:rsidR="009A688E" w:rsidRDefault="009A688E" w:rsidP="00312FB6">
      <w:pPr>
        <w:pStyle w:val="Standard"/>
        <w:jc w:val="both"/>
      </w:pPr>
    </w:p>
    <w:p w14:paraId="4CF75218" w14:textId="77777777" w:rsidR="009A688E" w:rsidRDefault="009646FE" w:rsidP="00312FB6">
      <w:pPr>
        <w:pStyle w:val="Standard"/>
        <w:jc w:val="both"/>
      </w:pPr>
      <w:r>
        <w:t xml:space="preserve">                    Y para que conste, a los efectos oportunos,</w:t>
      </w:r>
    </w:p>
    <w:p w14:paraId="471537C3" w14:textId="77777777" w:rsidR="009A688E" w:rsidRDefault="009A688E" w:rsidP="00312FB6">
      <w:pPr>
        <w:pStyle w:val="Standard"/>
        <w:jc w:val="both"/>
      </w:pPr>
    </w:p>
    <w:p w14:paraId="140913E7" w14:textId="77777777" w:rsidR="009A688E" w:rsidRDefault="009A688E" w:rsidP="00312FB6">
      <w:pPr>
        <w:pStyle w:val="Standard"/>
        <w:jc w:val="both"/>
      </w:pPr>
    </w:p>
    <w:p w14:paraId="3B4D3326" w14:textId="77777777" w:rsidR="009A688E" w:rsidRDefault="009A688E" w:rsidP="00312FB6">
      <w:pPr>
        <w:pStyle w:val="Standard"/>
        <w:jc w:val="both"/>
      </w:pPr>
    </w:p>
    <w:p w14:paraId="1BB0156B" w14:textId="77777777" w:rsidR="009A688E" w:rsidRDefault="009A688E" w:rsidP="00312FB6">
      <w:pPr>
        <w:pStyle w:val="Standard"/>
        <w:jc w:val="both"/>
      </w:pPr>
    </w:p>
    <w:p w14:paraId="4D3270D4" w14:textId="77777777" w:rsidR="009A688E" w:rsidRDefault="009646FE" w:rsidP="00312FB6">
      <w:pPr>
        <w:pStyle w:val="Standard"/>
        <w:jc w:val="both"/>
      </w:pPr>
      <w:r>
        <w:t xml:space="preserve">                                                     ……………………….., a ……. de ………… de ……….</w:t>
      </w:r>
    </w:p>
    <w:p w14:paraId="231F4F62" w14:textId="77777777" w:rsidR="009A688E" w:rsidRDefault="009A688E" w:rsidP="00312FB6">
      <w:pPr>
        <w:pStyle w:val="Standard"/>
        <w:jc w:val="both"/>
      </w:pPr>
    </w:p>
    <w:p w14:paraId="03351854" w14:textId="77777777" w:rsidR="009A688E" w:rsidRDefault="009646FE" w:rsidP="00312FB6">
      <w:pPr>
        <w:pStyle w:val="Standard"/>
        <w:jc w:val="both"/>
      </w:pPr>
      <w:r>
        <w:t>Padre/Tutor legal                             Alumno/Alumna                                                Madre/Tutor legal</w:t>
      </w:r>
    </w:p>
    <w:p w14:paraId="26F30B0F" w14:textId="77777777" w:rsidR="009A688E" w:rsidRDefault="009A688E" w:rsidP="00312FB6">
      <w:pPr>
        <w:pStyle w:val="Standard"/>
        <w:jc w:val="both"/>
      </w:pPr>
    </w:p>
    <w:p w14:paraId="54FC0F4C" w14:textId="77777777" w:rsidR="009A688E" w:rsidRDefault="009A688E" w:rsidP="00312FB6">
      <w:pPr>
        <w:pStyle w:val="Standard"/>
        <w:jc w:val="both"/>
      </w:pPr>
    </w:p>
    <w:p w14:paraId="64E3C713" w14:textId="77777777" w:rsidR="009A688E" w:rsidRDefault="009A688E" w:rsidP="00312FB6">
      <w:pPr>
        <w:pStyle w:val="Standard"/>
        <w:jc w:val="both"/>
      </w:pPr>
    </w:p>
    <w:p w14:paraId="11591665" w14:textId="77777777" w:rsidR="009A688E" w:rsidRDefault="009646FE" w:rsidP="00312FB6">
      <w:pPr>
        <w:pStyle w:val="Standard"/>
        <w:jc w:val="both"/>
      </w:pPr>
      <w:r>
        <w:t>Fdo.                                                    Fdo.                                                                   Fdo.</w:t>
      </w:r>
    </w:p>
    <w:p w14:paraId="21BCE926" w14:textId="77777777" w:rsidR="009A688E" w:rsidRDefault="009A688E" w:rsidP="00312FB6">
      <w:pPr>
        <w:pStyle w:val="Standard"/>
        <w:jc w:val="both"/>
      </w:pPr>
    </w:p>
    <w:p w14:paraId="67492314" w14:textId="77777777" w:rsidR="009A688E" w:rsidRDefault="009A688E" w:rsidP="00312FB6">
      <w:pPr>
        <w:pStyle w:val="Standard"/>
        <w:jc w:val="both"/>
      </w:pPr>
    </w:p>
    <w:p w14:paraId="7BD3B305" w14:textId="77777777" w:rsidR="009A688E" w:rsidRDefault="009646FE" w:rsidP="00312FB6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Normativa aplicable:</w:t>
      </w:r>
    </w:p>
    <w:p w14:paraId="0387B138" w14:textId="77777777" w:rsidR="009A688E" w:rsidRDefault="009A688E" w:rsidP="00312FB6">
      <w:pPr>
        <w:pStyle w:val="Standard"/>
        <w:jc w:val="both"/>
        <w:rPr>
          <w:b/>
          <w:bCs/>
          <w:u w:val="single"/>
        </w:rPr>
      </w:pPr>
    </w:p>
    <w:p w14:paraId="07A66220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 CE</w:t>
      </w:r>
      <w:r>
        <w:t>, que define la libertad como valor superior de nuestro ordenamiento jurídico.</w:t>
      </w:r>
    </w:p>
    <w:p w14:paraId="150F229F" w14:textId="77777777" w:rsidR="009A688E" w:rsidRDefault="009A688E" w:rsidP="00312FB6">
      <w:pPr>
        <w:pStyle w:val="Standard"/>
        <w:jc w:val="both"/>
      </w:pPr>
    </w:p>
    <w:p w14:paraId="00AFDBB2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10 CE</w:t>
      </w:r>
      <w:r>
        <w:t xml:space="preserve"> : “ </w:t>
      </w:r>
      <w:r>
        <w:rPr>
          <w:b/>
          <w:bCs/>
        </w:rPr>
        <w:t xml:space="preserve">La dignidad </w:t>
      </w:r>
      <w:r>
        <w:t xml:space="preserve">de la persona, los derechos inviolables que le son inherentes, </w:t>
      </w:r>
      <w:r>
        <w:rPr>
          <w:b/>
          <w:bCs/>
        </w:rPr>
        <w:t>el libre</w:t>
      </w:r>
      <w:r>
        <w:t xml:space="preserve"> </w:t>
      </w:r>
      <w:r>
        <w:rPr>
          <w:b/>
          <w:bCs/>
        </w:rPr>
        <w:t>desarrollo de la personalidad</w:t>
      </w:r>
      <w:r>
        <w:t>, el respeto a la ley y a los derechos de los demás son fundamento del orden político y</w:t>
      </w:r>
      <w:r>
        <w:rPr>
          <w:b/>
          <w:bCs/>
        </w:rPr>
        <w:t xml:space="preserve"> </w:t>
      </w:r>
      <w:r>
        <w:t>de la paz social.”</w:t>
      </w:r>
    </w:p>
    <w:p w14:paraId="758BFC66" w14:textId="77777777" w:rsidR="009A688E" w:rsidRDefault="009A688E" w:rsidP="00312FB6">
      <w:pPr>
        <w:pStyle w:val="Standard"/>
        <w:jc w:val="both"/>
      </w:pPr>
    </w:p>
    <w:p w14:paraId="165ED2DD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12 CE</w:t>
      </w:r>
      <w:r>
        <w:t xml:space="preserve"> “ Los españoles son mayores de edad a los dieciocho años.”</w:t>
      </w:r>
    </w:p>
    <w:p w14:paraId="4ECC2666" w14:textId="77777777" w:rsidR="009A688E" w:rsidRDefault="009A688E" w:rsidP="00312FB6">
      <w:pPr>
        <w:pStyle w:val="Standard"/>
        <w:jc w:val="both"/>
      </w:pPr>
    </w:p>
    <w:p w14:paraId="08EA0727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Articulo 315 CC </w:t>
      </w:r>
      <w:r>
        <w:t>“ la mayoría de edad empieza a los dieciocho años cumplidos.”</w:t>
      </w:r>
    </w:p>
    <w:p w14:paraId="15210C75" w14:textId="77777777" w:rsidR="009A688E" w:rsidRDefault="009A688E" w:rsidP="00312FB6">
      <w:pPr>
        <w:pStyle w:val="Standard"/>
        <w:jc w:val="both"/>
      </w:pPr>
    </w:p>
    <w:p w14:paraId="2FE79B34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154 CC</w:t>
      </w:r>
      <w:r>
        <w:t xml:space="preserve"> que atribuye a quien ejerce la patria potestad el deber de velar por el menor y de actuar en su beneficio de acuerdo con su personalidad.</w:t>
      </w:r>
    </w:p>
    <w:p w14:paraId="6339E44B" w14:textId="77777777" w:rsidR="009A688E" w:rsidRDefault="009A688E" w:rsidP="00312FB6">
      <w:pPr>
        <w:pStyle w:val="Standard"/>
        <w:jc w:val="both"/>
      </w:pPr>
    </w:p>
    <w:p w14:paraId="3EF7F93F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 de la Convención sobre los Derechos del Niño, de 1989</w:t>
      </w:r>
      <w:r>
        <w:t xml:space="preserve"> “se entiende por niño todo ser humano menor de dieciocho años de edad, salvo que, en virtud de la ley que le sea aplicable, haya alcanzado la mayoría de edad.”</w:t>
      </w:r>
    </w:p>
    <w:p w14:paraId="4A21C439" w14:textId="77777777" w:rsidR="009A688E" w:rsidRDefault="009A688E" w:rsidP="00312FB6">
      <w:pPr>
        <w:pStyle w:val="Standard"/>
        <w:jc w:val="both"/>
      </w:pPr>
    </w:p>
    <w:p w14:paraId="0C718C7C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2.2 Ley 4/2002 de Autonomía del Paciente</w:t>
      </w:r>
      <w:r>
        <w:t xml:space="preserve"> (la LAP en adelante) “ </w:t>
      </w:r>
      <w:r>
        <w:rPr>
          <w:b/>
          <w:bCs/>
        </w:rPr>
        <w:t>toda actuación en el ámbito de la sanidad requiere, con carácter general, el previo consentimiento de los pacientes o usuarios.”</w:t>
      </w:r>
    </w:p>
    <w:p w14:paraId="7B273959" w14:textId="77777777" w:rsidR="009A688E" w:rsidRDefault="009A688E" w:rsidP="00312FB6">
      <w:pPr>
        <w:pStyle w:val="Standard"/>
        <w:jc w:val="both"/>
      </w:pPr>
    </w:p>
    <w:p w14:paraId="2AD01667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Articulo 3 LAP </w:t>
      </w:r>
      <w:r>
        <w:t>, el consentimiento informado es “ la conformidad libre, voluntaria y consciente de un paciente, manifestado en el pleno uso de sus facultades después de recibir la información adecuada, para que tenga lugar una actuación que afecta a su salud.”</w:t>
      </w:r>
    </w:p>
    <w:p w14:paraId="0BF825B1" w14:textId="77777777" w:rsidR="009A688E" w:rsidRDefault="009A688E" w:rsidP="00312FB6">
      <w:pPr>
        <w:pStyle w:val="Standard"/>
        <w:jc w:val="both"/>
      </w:pPr>
    </w:p>
    <w:p w14:paraId="49CABA96" w14:textId="77777777" w:rsidR="009A688E" w:rsidRDefault="009646FE" w:rsidP="00312FB6">
      <w:pPr>
        <w:pStyle w:val="Standard"/>
        <w:jc w:val="both"/>
        <w:rPr>
          <w:b/>
          <w:bCs/>
        </w:rPr>
      </w:pPr>
      <w:r>
        <w:rPr>
          <w:b/>
          <w:bCs/>
        </w:rPr>
        <w:t>Ley 8/2018 de Salud de la Generalidad Valenciana:  Titulo Preliminar</w:t>
      </w:r>
    </w:p>
    <w:p w14:paraId="0164EAAE" w14:textId="77777777" w:rsidR="009A688E" w:rsidRDefault="009A688E" w:rsidP="00312FB6">
      <w:pPr>
        <w:pStyle w:val="Standard"/>
        <w:jc w:val="both"/>
        <w:rPr>
          <w:b/>
          <w:bCs/>
        </w:rPr>
      </w:pPr>
    </w:p>
    <w:p w14:paraId="178BD50D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1</w:t>
      </w:r>
      <w:r>
        <w:t xml:space="preserve"> “ La ley tiene por objeto </w:t>
      </w:r>
      <w:r>
        <w:rPr>
          <w:b/>
          <w:bCs/>
        </w:rPr>
        <w:t>garantizar los derechos fundamentales de los niños, niñas y</w:t>
      </w:r>
      <w:r>
        <w:t xml:space="preserve"> </w:t>
      </w:r>
      <w:r>
        <w:rPr>
          <w:b/>
          <w:bCs/>
        </w:rPr>
        <w:t>adolescentes</w:t>
      </w:r>
      <w:r>
        <w:t xml:space="preserve"> a su integridad física, psíquica, psicológica y moral frente a cualquier forma de violencia, asegurando el libre desarrollo de su personalidad y estableciendo medidas de protección integral, que incluyan la sensibilización, la prevención, la detección precoz, la protección y la reparación del daño en todos los ámbitos en los que se desarrolla su vida.”</w:t>
      </w:r>
    </w:p>
    <w:p w14:paraId="6A792445" w14:textId="77777777" w:rsidR="009A688E" w:rsidRDefault="009A688E" w:rsidP="00312FB6">
      <w:pPr>
        <w:pStyle w:val="Standard"/>
        <w:jc w:val="both"/>
      </w:pPr>
    </w:p>
    <w:p w14:paraId="44715A86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2</w:t>
      </w:r>
      <w:r>
        <w:t xml:space="preserve"> “ A los efectos de esta ley,</w:t>
      </w:r>
      <w:r>
        <w:rPr>
          <w:b/>
          <w:bCs/>
        </w:rPr>
        <w:t xml:space="preserve"> se entiende por violencia toda acción, omisión o trato negligente </w:t>
      </w:r>
      <w:r>
        <w:t>que priva a las personas menores de edad de sus derechos y bienestar que amenaza o interfiere su ordenado desarrollo físico, psíquico o social, con independencia de su forma y medio e comisión, incluida la realizada a través de las tecnologías de la información y la comunicación, especialmente la violencia digital.”</w:t>
      </w:r>
    </w:p>
    <w:p w14:paraId="4BAA949B" w14:textId="77777777" w:rsidR="009A688E" w:rsidRDefault="009A688E" w:rsidP="00312FB6">
      <w:pPr>
        <w:pStyle w:val="Standard"/>
        <w:jc w:val="both"/>
      </w:pPr>
    </w:p>
    <w:p w14:paraId="6A13D48C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Articulo 42.3 Ley 8/2018 </w:t>
      </w:r>
      <w:r>
        <w:t xml:space="preserve">, Información relativa a la salud publica. “ </w:t>
      </w:r>
      <w:r>
        <w:rPr>
          <w:b/>
          <w:bCs/>
        </w:rPr>
        <w:t>Las personas tienen derecho a</w:t>
      </w:r>
      <w:r>
        <w:t xml:space="preserve"> </w:t>
      </w:r>
      <w:r>
        <w:rPr>
          <w:b/>
          <w:bCs/>
        </w:rPr>
        <w:t>recibir información suficiente y adecuada sobre las situaciones</w:t>
      </w:r>
      <w:r>
        <w:t xml:space="preserve"> y causas de riesgo que existan para su salud a través del sistema de información en salud publica de la Comunidad Valenciana, incluidos los problemas de salud de la colectividad que impliquen un riesgo para la salud individual.”</w:t>
      </w:r>
    </w:p>
    <w:p w14:paraId="15CE01B0" w14:textId="77777777" w:rsidR="009A688E" w:rsidRDefault="009A688E" w:rsidP="00312FB6">
      <w:pPr>
        <w:pStyle w:val="Standard"/>
        <w:jc w:val="both"/>
      </w:pPr>
    </w:p>
    <w:p w14:paraId="1B2375F6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Articulo 43.3 </w:t>
      </w:r>
      <w:r>
        <w:t>“</w:t>
      </w:r>
      <w:r>
        <w:rPr>
          <w:b/>
          <w:bCs/>
        </w:rPr>
        <w:t xml:space="preserve">El consentimiento deberá recabarse por el profesional sanitario responsable de la </w:t>
      </w:r>
      <w:r>
        <w:t xml:space="preserve">intervención quirúrgica, </w:t>
      </w:r>
      <w:r>
        <w:rPr>
          <w:b/>
          <w:bCs/>
        </w:rPr>
        <w:t>diagnostica</w:t>
      </w:r>
      <w:r>
        <w:t xml:space="preserve"> o terapéutica. La persona afectada podrá libremente retirar por escrito su consentimiento en cualquier momento.”</w:t>
      </w:r>
    </w:p>
    <w:p w14:paraId="3A711A9C" w14:textId="77777777" w:rsidR="009A688E" w:rsidRDefault="009A688E" w:rsidP="00312FB6">
      <w:pPr>
        <w:pStyle w:val="Standard"/>
        <w:jc w:val="both"/>
      </w:pPr>
    </w:p>
    <w:p w14:paraId="2016AE03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45.5</w:t>
      </w:r>
      <w:r>
        <w:t xml:space="preserve"> “Las voluntades anticipadas pueden modificarse o dejarse sin efecto en cualquier momento por la sola voluntad de la persona interesada, dejando </w:t>
      </w:r>
      <w:r>
        <w:rPr>
          <w:b/>
          <w:bCs/>
        </w:rPr>
        <w:t>constancia siempre por escrito.”</w:t>
      </w:r>
    </w:p>
    <w:p w14:paraId="211E6CAD" w14:textId="77777777" w:rsidR="009A688E" w:rsidRDefault="009A688E" w:rsidP="00312FB6">
      <w:pPr>
        <w:pStyle w:val="Standard"/>
        <w:jc w:val="both"/>
        <w:rPr>
          <w:b/>
          <w:bCs/>
        </w:rPr>
      </w:pPr>
    </w:p>
    <w:p w14:paraId="273BFC8B" w14:textId="77777777" w:rsidR="009A688E" w:rsidRDefault="009646FE" w:rsidP="00312FB6">
      <w:pPr>
        <w:pStyle w:val="Standard"/>
        <w:jc w:val="both"/>
      </w:pPr>
      <w:r>
        <w:rPr>
          <w:b/>
          <w:bCs/>
        </w:rPr>
        <w:t>Articulo 52.2</w:t>
      </w:r>
      <w:r>
        <w:t xml:space="preserve"> , Deberes del personal de los centros, servicios y establecimientos sanitarios</w:t>
      </w:r>
    </w:p>
    <w:p w14:paraId="43543637" w14:textId="77777777" w:rsidR="009A688E" w:rsidRDefault="009A688E" w:rsidP="00312FB6">
      <w:pPr>
        <w:pStyle w:val="Standard"/>
        <w:jc w:val="both"/>
      </w:pPr>
    </w:p>
    <w:p w14:paraId="10B0AE08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b) </w:t>
      </w:r>
      <w:r>
        <w:t xml:space="preserve">“ </w:t>
      </w:r>
      <w:r>
        <w:rPr>
          <w:b/>
          <w:bCs/>
        </w:rPr>
        <w:t>Facilitar a los pacientes y personas usuarias información sobre cualquier actuación en el ámbito e la salud.</w:t>
      </w:r>
      <w:r>
        <w:t xml:space="preserve"> Todo el personal que preste atención sanitaria durante los procesos asistenciales en los </w:t>
      </w:r>
      <w:r>
        <w:rPr>
          <w:b/>
          <w:bCs/>
        </w:rPr>
        <w:t>que apliquen una técnica o un procedimiento concreto, sera también responsable de facilitar la</w:t>
      </w:r>
      <w:r>
        <w:t xml:space="preserve"> </w:t>
      </w:r>
      <w:r>
        <w:rPr>
          <w:b/>
          <w:bCs/>
        </w:rPr>
        <w:t>información que se derive especificamente de sus actuaciones.”</w:t>
      </w:r>
    </w:p>
    <w:p w14:paraId="65111869" w14:textId="77777777" w:rsidR="009A688E" w:rsidRDefault="009646FE" w:rsidP="00312FB6">
      <w:pPr>
        <w:pStyle w:val="Standard"/>
        <w:jc w:val="both"/>
      </w:pPr>
      <w:r>
        <w:rPr>
          <w:b/>
          <w:bCs/>
        </w:rPr>
        <w:t xml:space="preserve">c) </w:t>
      </w:r>
      <w:r>
        <w:t xml:space="preserve">“ </w:t>
      </w:r>
      <w:r>
        <w:rPr>
          <w:b/>
          <w:bCs/>
        </w:rPr>
        <w:t>Respetar las decisiones</w:t>
      </w:r>
      <w:r>
        <w:t xml:space="preserve"> adoptadas libremente y voluntariamente por el o la paciente, </w:t>
      </w:r>
      <w:r>
        <w:rPr>
          <w:b/>
          <w:bCs/>
        </w:rPr>
        <w:t>incluida la</w:t>
      </w:r>
      <w:r>
        <w:t xml:space="preserve"> </w:t>
      </w:r>
      <w:r>
        <w:rPr>
          <w:b/>
          <w:bCs/>
        </w:rPr>
        <w:t>negativa</w:t>
      </w:r>
      <w:r>
        <w:t xml:space="preserve"> al tratamiento propuesto, a excepción de las cosas en que la ley establezca su carácter preceptivo.”</w:t>
      </w:r>
    </w:p>
    <w:p w14:paraId="5BE25420" w14:textId="77777777" w:rsidR="005A43AC" w:rsidRDefault="005A43AC" w:rsidP="00312FB6">
      <w:pPr>
        <w:pStyle w:val="Standard"/>
        <w:jc w:val="both"/>
      </w:pPr>
    </w:p>
    <w:p w14:paraId="14C2439E" w14:textId="77777777" w:rsidR="0035527F" w:rsidRDefault="005A43AC" w:rsidP="00312FB6">
      <w:pPr>
        <w:pStyle w:val="Standard"/>
        <w:jc w:val="both"/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</w:pPr>
      <w:r>
        <w:t>Ministerio de Salud, apartado “</w:t>
      </w:r>
      <w:r w:rsidRPr="00B67610">
        <w:t>Estudio Nacional de sero-Epidemiología de la Infección por SARS-CoV-2 en España (ENE-Covid)</w:t>
      </w:r>
      <w:r>
        <w:t>”</w:t>
      </w:r>
      <w:r w:rsidR="00A86306">
        <w:t xml:space="preserve">: </w:t>
      </w:r>
      <w:r w:rsidR="00402B4D">
        <w:t xml:space="preserve">en las </w:t>
      </w:r>
      <w:r w:rsidR="00A86306">
        <w:t xml:space="preserve">“preguntas </w:t>
      </w:r>
      <w:r w:rsidR="00402B4D">
        <w:t xml:space="preserve">frecuentes” se contesta a los ciudadanos </w:t>
      </w:r>
      <w:r w:rsidR="008E629C">
        <w:t xml:space="preserve">sobre </w:t>
      </w:r>
      <w:r w:rsidR="00106F49">
        <w:t>la</w:t>
      </w:r>
      <w:r w:rsidR="00402B4D">
        <w:t xml:space="preserve"> eficacia </w:t>
      </w:r>
      <w:r w:rsidR="00BF61AD">
        <w:t>de los</w:t>
      </w:r>
      <w:r w:rsidR="00402B4D">
        <w:t xml:space="preserve"> test </w:t>
      </w:r>
      <w:r w:rsidR="00BF61AD">
        <w:t xml:space="preserve">que se utilizan </w:t>
      </w:r>
      <w:r w:rsidR="00106F49">
        <w:t xml:space="preserve">con la finalidad de detectar </w:t>
      </w:r>
      <w:r w:rsidR="008E629C">
        <w:t>está enfermedad,</w:t>
      </w:r>
      <w:r w:rsidR="006E035A">
        <w:t xml:space="preserve"> </w:t>
      </w:r>
      <w:r w:rsidR="00BB3C8F">
        <w:t>“</w:t>
      </w:r>
      <w:r w:rsidR="00BB3C8F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Lo que estos test no hacen es diagnosticar la enfermedad llamada COVID-19, ni permitirle saber si es o no contagioso/a</w:t>
      </w:r>
      <w:r w:rsidR="0035527F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.”</w:t>
      </w:r>
      <w:r w:rsidR="00FA6B4A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,</w:t>
      </w:r>
    </w:p>
    <w:p w14:paraId="7BA8BEC4" w14:textId="77777777" w:rsidR="00BB3C8F" w:rsidRDefault="00FA6B4A" w:rsidP="00312FB6">
      <w:pPr>
        <w:pStyle w:val="Standard"/>
        <w:jc w:val="both"/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“Este test no diagnostica la enfermedad. Haber tenido contacto con el coronavirus no significa estar enfermo.</w:t>
      </w:r>
      <w:r w:rsidR="00893EF2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”,</w:t>
      </w:r>
      <w:r w:rsidR="00AA0866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 xml:space="preserve"> </w:t>
      </w:r>
      <w:r w:rsidR="00E94E89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 xml:space="preserve">“Este test no diagnostica la enfermedad.  Tampoco nos dice si usted es contagioso o no, es decir, con este resultado no sabemos si usted puede trasmitir o no el virus a otras personas.”, </w:t>
      </w:r>
      <w:r w:rsidR="00A550CB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“</w:t>
      </w:r>
      <w:r w:rsidR="0048049C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Con la información que proporciona el test no podemos hacer el diagnóstico de COVID-19 y tampoco podemos saber si es contagioso/a ahora mismo.”,</w:t>
      </w:r>
      <w:r w:rsidR="00365CEF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 xml:space="preserve"> </w:t>
      </w:r>
    </w:p>
    <w:p w14:paraId="13AB5227" w14:textId="77777777" w:rsidR="008E70E8" w:rsidRDefault="00C04435" w:rsidP="00312FB6">
      <w:pPr>
        <w:pStyle w:val="Heading"/>
        <w:shd w:val="clear" w:color="auto" w:fill="FFFFFF"/>
        <w:spacing w:before="0"/>
        <w:jc w:val="both"/>
        <w:divId w:val="740299112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“Es importante que tenga en cuenta que medir el contacto con el coronavirus no es suficiente para diagnosticar COVID19 y tampoco nos dice si usted es o no contagioso en este momento.”</w:t>
      </w:r>
      <w:r w:rsidR="008E70E8">
        <w:rPr>
          <w:rFonts w:ascii="Arial" w:eastAsia="Times New Roman" w:hAnsi="Arial" w:cs="Arial"/>
          <w:color w:val="2A2A2A"/>
          <w:sz w:val="22"/>
          <w:szCs w:val="22"/>
          <w:shd w:val="clear" w:color="auto" w:fill="FFFFFF"/>
        </w:rPr>
        <w:t>, “</w:t>
      </w:r>
      <w:r w:rsidR="008E70E8">
        <w:rPr>
          <w:rFonts w:ascii="Arial" w:hAnsi="Arial" w:cs="Arial"/>
          <w:color w:val="2A2A2A"/>
          <w:sz w:val="22"/>
          <w:szCs w:val="22"/>
        </w:rPr>
        <w:t>Sí, le daremos el resultado del test rápido de anticuerpos por escrito. Sin embargo, es importante que sepa que este test no permite diagnosticar si usted tiene COVID-19.</w:t>
      </w:r>
    </w:p>
    <w:p w14:paraId="2E7B59D7" w14:textId="77777777" w:rsidR="00365CEF" w:rsidRPr="008E70E8" w:rsidRDefault="008E70E8" w:rsidP="00312FB6">
      <w:pPr>
        <w:pStyle w:val="Heading"/>
        <w:shd w:val="clear" w:color="auto" w:fill="FFFFFF"/>
        <w:spacing w:before="0"/>
        <w:jc w:val="both"/>
        <w:divId w:val="740299112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>Este test no diagnostica la enfermedad. Haber tenido contacto con el coronavirus no significa estar enfermo.”</w:t>
      </w:r>
    </w:p>
    <w:sectPr w:rsidR="00365CEF" w:rsidRPr="008E70E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D668" w14:textId="77777777" w:rsidR="0050580B" w:rsidRDefault="009646FE">
      <w:r>
        <w:separator/>
      </w:r>
    </w:p>
  </w:endnote>
  <w:endnote w:type="continuationSeparator" w:id="0">
    <w:p w14:paraId="60281173" w14:textId="77777777" w:rsidR="0050580B" w:rsidRDefault="009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0235" w14:textId="77777777" w:rsidR="0050580B" w:rsidRDefault="009646FE">
      <w:r>
        <w:rPr>
          <w:color w:val="000000"/>
        </w:rPr>
        <w:separator/>
      </w:r>
    </w:p>
  </w:footnote>
  <w:footnote w:type="continuationSeparator" w:id="0">
    <w:p w14:paraId="02669A87" w14:textId="77777777" w:rsidR="0050580B" w:rsidRDefault="0096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E"/>
    <w:rsid w:val="00106F49"/>
    <w:rsid w:val="00312FB6"/>
    <w:rsid w:val="00341309"/>
    <w:rsid w:val="0035527F"/>
    <w:rsid w:val="00365CEF"/>
    <w:rsid w:val="00402B4D"/>
    <w:rsid w:val="0048049C"/>
    <w:rsid w:val="00493B2B"/>
    <w:rsid w:val="0050580B"/>
    <w:rsid w:val="005260C1"/>
    <w:rsid w:val="005A43AC"/>
    <w:rsid w:val="006E035A"/>
    <w:rsid w:val="007461C7"/>
    <w:rsid w:val="007E0B32"/>
    <w:rsid w:val="00893EF2"/>
    <w:rsid w:val="008E629C"/>
    <w:rsid w:val="008E70E8"/>
    <w:rsid w:val="0093248D"/>
    <w:rsid w:val="009646FE"/>
    <w:rsid w:val="0098672E"/>
    <w:rsid w:val="009A688E"/>
    <w:rsid w:val="009D5113"/>
    <w:rsid w:val="00A550CB"/>
    <w:rsid w:val="00A86306"/>
    <w:rsid w:val="00AA0866"/>
    <w:rsid w:val="00B67610"/>
    <w:rsid w:val="00BB3C8F"/>
    <w:rsid w:val="00BF61AD"/>
    <w:rsid w:val="00C04435"/>
    <w:rsid w:val="00C43D2E"/>
    <w:rsid w:val="00CD773F"/>
    <w:rsid w:val="00E94E89"/>
    <w:rsid w:val="00F76EE0"/>
    <w:rsid w:val="00F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1CAC"/>
  <w15:docId w15:val="{F4948C48-E634-410C-A02A-B598F80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hache</dc:creator>
  <cp:lastModifiedBy>Ana hache</cp:lastModifiedBy>
  <cp:revision>2</cp:revision>
  <dcterms:created xsi:type="dcterms:W3CDTF">2020-09-04T18:12:00Z</dcterms:created>
  <dcterms:modified xsi:type="dcterms:W3CDTF">2020-09-04T18:12:00Z</dcterms:modified>
</cp:coreProperties>
</file>